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65" w:rsidRPr="008E6BF3" w:rsidRDefault="00EF01A5" w:rsidP="003D2365">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3GPP TSG RAN WG1 #111</w:t>
      </w:r>
      <w:r w:rsidR="003D2365" w:rsidRPr="008E6BF3">
        <w:rPr>
          <w:rFonts w:ascii="Times New Roman" w:eastAsia="SimSun" w:hAnsi="Times New Roman"/>
          <w:szCs w:val="20"/>
          <w:lang w:eastAsia="zh-CN"/>
        </w:rPr>
        <w:tab/>
      </w:r>
      <w:r w:rsidR="003D2365" w:rsidRPr="008E6BF3">
        <w:rPr>
          <w:rFonts w:ascii="Times New Roman" w:eastAsia="SimSun" w:hAnsi="Times New Roman"/>
          <w:szCs w:val="20"/>
          <w:lang w:eastAsia="zh-CN"/>
        </w:rPr>
        <w:tab/>
      </w:r>
      <w:r w:rsidR="00646A87" w:rsidRPr="00646A87">
        <w:rPr>
          <w:rFonts w:ascii="Times New Roman" w:eastAsia="SimSun" w:hAnsi="Times New Roman"/>
          <w:szCs w:val="20"/>
          <w:lang w:eastAsia="zh-CN"/>
        </w:rPr>
        <w:t>R1-2211492</w:t>
      </w:r>
    </w:p>
    <w:p w:rsidR="003D2365" w:rsidRPr="008E6BF3" w:rsidRDefault="00EF01A5" w:rsidP="003D2365">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Toulouse, France, November 14 – 18</w:t>
      </w:r>
      <w:r w:rsidR="003D2365" w:rsidRPr="008E6BF3">
        <w:rPr>
          <w:rFonts w:ascii="Times New Roman" w:eastAsia="SimSun" w:hAnsi="Times New Roman"/>
          <w:szCs w:val="20"/>
          <w:lang w:eastAsia="zh-CN"/>
        </w:rPr>
        <w:t>, 2022</w:t>
      </w:r>
    </w:p>
    <w:p w:rsidR="0064652B" w:rsidRPr="003D2365" w:rsidRDefault="0064652B" w:rsidP="000A1E8B">
      <w:pPr>
        <w:tabs>
          <w:tab w:val="left" w:pos="1800"/>
          <w:tab w:val="right" w:pos="9072"/>
        </w:tabs>
        <w:spacing w:after="0" w:line="240" w:lineRule="auto"/>
        <w:ind w:left="1800" w:hanging="1800"/>
        <w:jc w:val="both"/>
        <w:rPr>
          <w:rFonts w:eastAsia="SimSun"/>
          <w:b/>
          <w:szCs w:val="20"/>
          <w:highlight w:val="yellow"/>
          <w:lang w:eastAsia="zh-CN"/>
        </w:rPr>
      </w:pP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t>OPPO</w:t>
      </w:r>
    </w:p>
    <w:p w:rsidR="0064652B" w:rsidRPr="0029301C"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Title:</w:t>
      </w:r>
      <w:r w:rsidRPr="0029301C">
        <w:rPr>
          <w:rFonts w:ascii="Times New Roman" w:hAnsi="Times New Roman"/>
          <w:szCs w:val="20"/>
        </w:rPr>
        <w:tab/>
      </w:r>
      <w:r w:rsidR="00170604" w:rsidRPr="00170604">
        <w:rPr>
          <w:rFonts w:ascii="Times New Roman" w:hAnsi="Times New Roman"/>
          <w:szCs w:val="20"/>
        </w:rPr>
        <w:t>Remaining issue in Rel-17 SCell-to-PCell scheduling</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A06A07">
        <w:rPr>
          <w:rFonts w:ascii="Times New Roman" w:hAnsi="Times New Roman"/>
          <w:szCs w:val="20"/>
        </w:rPr>
        <w:t>Agenda Item:</w:t>
      </w:r>
      <w:r w:rsidRPr="00A06A07">
        <w:rPr>
          <w:rFonts w:ascii="Times New Roman" w:hAnsi="Times New Roman"/>
          <w:szCs w:val="20"/>
        </w:rPr>
        <w:tab/>
      </w:r>
      <w:r w:rsidR="00170604">
        <w:rPr>
          <w:rFonts w:ascii="Times New Roman" w:hAnsi="Times New Roman"/>
          <w:szCs w:val="20"/>
        </w:rPr>
        <w:t>8.13</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64652B" w:rsidRPr="00C36519" w:rsidRDefault="0064652B" w:rsidP="0064652B">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64652B" w:rsidRPr="00C36519" w:rsidRDefault="00F71389" w:rsidP="0064652B">
      <w:pPr>
        <w:pStyle w:val="Heading1"/>
        <w:tabs>
          <w:tab w:val="num" w:pos="612"/>
        </w:tabs>
        <w:spacing w:line="240" w:lineRule="auto"/>
        <w:rPr>
          <w:rFonts w:ascii="Times New Roman" w:hAnsi="Times New Roman" w:cs="Times New Roman"/>
          <w:sz w:val="20"/>
          <w:szCs w:val="20"/>
        </w:rPr>
      </w:pPr>
      <w:r>
        <w:rPr>
          <w:rFonts w:ascii="Times New Roman" w:hAnsi="Times New Roman" w:cs="Times New Roman"/>
          <w:sz w:val="20"/>
          <w:szCs w:val="20"/>
        </w:rPr>
        <w:t>Discussion</w:t>
      </w:r>
    </w:p>
    <w:p w:rsidR="006523C2" w:rsidRPr="00170604" w:rsidRDefault="00170604" w:rsidP="00646A87">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#110bis discussed the remaining issues in Rel-17 SCell-to-P(S)Cell scheduling, and agreed solutions for most of them, except the one for clarification of parameters in </w:t>
      </w:r>
      <w:r w:rsidRPr="00274484">
        <w:rPr>
          <w:i/>
          <w:iCs/>
          <w:lang w:val="en-GB" w:eastAsia="ja-JP"/>
        </w:rPr>
        <w:t>CSI-MeasConfig</w:t>
      </w:r>
      <w:r>
        <w:rPr>
          <w:iCs/>
          <w:lang w:val="en-GB" w:eastAsia="ja-JP"/>
        </w:rPr>
        <w:t xml:space="preserve">. FL proposed the following to conclude the discussion, which however is postponed to RAN1 #111 because companies have different understanding of </w:t>
      </w:r>
      <w:r w:rsidR="00F450C6">
        <w:rPr>
          <w:iCs/>
          <w:lang w:val="en-GB" w:eastAsia="ja-JP"/>
        </w:rPr>
        <w:t xml:space="preserve">“joint set” that is used in the proposal. </w:t>
      </w:r>
    </w:p>
    <w:tbl>
      <w:tblPr>
        <w:tblStyle w:val="TableGrid"/>
        <w:tblW w:w="0" w:type="auto"/>
        <w:tblLook w:val="04A0"/>
      </w:tblPr>
      <w:tblGrid>
        <w:gridCol w:w="9286"/>
      </w:tblGrid>
      <w:tr w:rsidR="00F450C6" w:rsidTr="00F450C6">
        <w:tc>
          <w:tcPr>
            <w:tcW w:w="9286" w:type="dxa"/>
          </w:tcPr>
          <w:p w:rsidR="00F450C6" w:rsidRDefault="00F450C6" w:rsidP="00F450C6">
            <w:pPr>
              <w:spacing w:before="120" w:after="120" w:line="240" w:lineRule="auto"/>
              <w:jc w:val="both"/>
              <w:rPr>
                <w:rFonts w:ascii="Arial" w:eastAsia="SimSun" w:hAnsi="Arial"/>
              </w:rPr>
            </w:pPr>
            <w:r>
              <w:rPr>
                <w:highlight w:val="yellow"/>
              </w:rPr>
              <w:t>Proposal 1-Alt1</w:t>
            </w:r>
          </w:p>
          <w:p w:rsidR="00F450C6" w:rsidRDefault="00F450C6" w:rsidP="00F450C6">
            <w:pPr>
              <w:pStyle w:val="ListParagraph"/>
              <w:numPr>
                <w:ilvl w:val="0"/>
                <w:numId w:val="21"/>
              </w:numPr>
              <w:overflowPunct w:val="0"/>
              <w:autoSpaceDE w:val="0"/>
              <w:autoSpaceDN w:val="0"/>
              <w:adjustRightInd w:val="0"/>
              <w:spacing w:before="120" w:after="120" w:line="240" w:lineRule="auto"/>
              <w:jc w:val="both"/>
              <w:textAlignment w:val="baseline"/>
            </w:pPr>
            <w:r>
              <w:t>Clarify capability description for FG 34-1 and 34-2 by including below additional text as a Note</w:t>
            </w:r>
          </w:p>
          <w:p w:rsidR="00F450C6" w:rsidRDefault="00F450C6" w:rsidP="00F450C6">
            <w:pPr>
              <w:pStyle w:val="ListParagraph"/>
              <w:numPr>
                <w:ilvl w:val="1"/>
                <w:numId w:val="21"/>
              </w:numPr>
              <w:overflowPunct w:val="0"/>
              <w:autoSpaceDE w:val="0"/>
              <w:autoSpaceDN w:val="0"/>
              <w:adjustRightInd w:val="0"/>
              <w:spacing w:before="120" w:after="120" w:line="240" w:lineRule="auto"/>
              <w:jc w:val="both"/>
              <w:textAlignment w:val="baseline"/>
            </w:pPr>
            <w:r>
              <w:rPr>
                <w:rFonts w:cs="Arial"/>
              </w:rPr>
              <w:t>“</w:t>
            </w:r>
            <w:r>
              <w:rPr>
                <w:i/>
                <w:iCs/>
              </w:rPr>
              <w:t>parameters in CSI-MeasConfig of P(S)Cell and sSCell are configured such that joint set of these parameters across P(S)Cell and sSCell does not result in exceeding any of the UE’s capabilities for A-/SP-CSI reporting on PUSCH on P(S)Cell</w:t>
            </w:r>
            <w:r>
              <w:rPr>
                <w:rFonts w:cs="Arial"/>
              </w:rPr>
              <w:t>”</w:t>
            </w:r>
          </w:p>
          <w:p w:rsidR="00F450C6" w:rsidRPr="00F450C6" w:rsidRDefault="00F450C6" w:rsidP="00F450C6">
            <w:pPr>
              <w:pStyle w:val="ListParagraph"/>
              <w:numPr>
                <w:ilvl w:val="0"/>
                <w:numId w:val="21"/>
              </w:numPr>
              <w:overflowPunct w:val="0"/>
              <w:autoSpaceDE w:val="0"/>
              <w:autoSpaceDN w:val="0"/>
              <w:adjustRightInd w:val="0"/>
              <w:spacing w:before="120" w:after="120" w:line="240" w:lineRule="auto"/>
              <w:jc w:val="both"/>
              <w:textAlignment w:val="baseline"/>
              <w:rPr>
                <w:rStyle w:val="apple-converted-space"/>
              </w:rPr>
            </w:pPr>
            <w:r>
              <w:t>Send LS to RAN2 requesting to reflect this in 38.306</w:t>
            </w:r>
          </w:p>
        </w:tc>
      </w:tr>
    </w:tbl>
    <w:p w:rsidR="00247889" w:rsidRDefault="00247889" w:rsidP="00646A87">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There were two understandings </w:t>
      </w:r>
      <w:r w:rsidR="005740F1">
        <w:rPr>
          <w:rStyle w:val="apple-converted-space"/>
          <w:rFonts w:eastAsiaTheme="minorEastAsia"/>
          <w:lang w:eastAsia="zh-CN"/>
        </w:rPr>
        <w:t xml:space="preserve">shown in RAN1 #110bis </w:t>
      </w:r>
      <w:r>
        <w:rPr>
          <w:rStyle w:val="apple-converted-space"/>
          <w:rFonts w:eastAsiaTheme="minorEastAsia"/>
          <w:lang w:eastAsia="zh-CN"/>
        </w:rPr>
        <w:t xml:space="preserve">for the “joint set” in the above proposal: </w:t>
      </w:r>
    </w:p>
    <w:p w:rsidR="006523C2" w:rsidRPr="00247889" w:rsidRDefault="003A0C97" w:rsidP="00646A87">
      <w:pPr>
        <w:pStyle w:val="ListParagraph"/>
        <w:numPr>
          <w:ilvl w:val="0"/>
          <w:numId w:val="22"/>
        </w:numPr>
        <w:spacing w:beforeLines="50" w:afterLines="50"/>
        <w:jc w:val="both"/>
        <w:rPr>
          <w:rStyle w:val="apple-converted-space"/>
          <w:rFonts w:eastAsiaTheme="minorEastAsia"/>
        </w:rPr>
      </w:pPr>
      <w:r>
        <w:rPr>
          <w:rStyle w:val="apple-converted-space"/>
          <w:rFonts w:eastAsiaTheme="minorEastAsia"/>
        </w:rPr>
        <w:t>Understanding 1: None</w:t>
      </w:r>
      <w:r w:rsidR="00247889">
        <w:rPr>
          <w:rStyle w:val="apple-converted-space"/>
          <w:rFonts w:eastAsiaTheme="minorEastAsia"/>
        </w:rPr>
        <w:t xml:space="preserve"> </w:t>
      </w:r>
      <w:r>
        <w:rPr>
          <w:rStyle w:val="apple-converted-space"/>
          <w:rFonts w:eastAsiaTheme="minorEastAsia"/>
        </w:rPr>
        <w:t xml:space="preserve">of </w:t>
      </w:r>
      <w:r w:rsidR="00247889">
        <w:rPr>
          <w:rStyle w:val="apple-converted-space"/>
          <w:rFonts w:eastAsiaTheme="minorEastAsia"/>
        </w:rPr>
        <w:t xml:space="preserve">the </w:t>
      </w:r>
      <w:r w:rsidR="00247889">
        <w:rPr>
          <w:i/>
          <w:iCs/>
        </w:rPr>
        <w:t>CSI-MeasConfig</w:t>
      </w:r>
      <w:r w:rsidR="00247889">
        <w:rPr>
          <w:iCs/>
        </w:rPr>
        <w:t xml:space="preserve"> </w:t>
      </w:r>
      <w:r>
        <w:rPr>
          <w:iCs/>
        </w:rPr>
        <w:t>of</w:t>
      </w:r>
      <w:r w:rsidR="00247889">
        <w:rPr>
          <w:iCs/>
        </w:rPr>
        <w:t xml:space="preserve"> P(S)Cell </w:t>
      </w:r>
      <w:r>
        <w:rPr>
          <w:iCs/>
        </w:rPr>
        <w:t xml:space="preserve">and </w:t>
      </w:r>
      <w:r w:rsidRPr="00247889">
        <w:rPr>
          <w:iCs/>
        </w:rPr>
        <w:t xml:space="preserve">the </w:t>
      </w:r>
      <w:r w:rsidRPr="00247889">
        <w:rPr>
          <w:i/>
          <w:iCs/>
        </w:rPr>
        <w:t>CSI-MeasConfig</w:t>
      </w:r>
      <w:r>
        <w:rPr>
          <w:iCs/>
        </w:rPr>
        <w:t xml:space="preserve"> of</w:t>
      </w:r>
      <w:r w:rsidRPr="00247889">
        <w:rPr>
          <w:iCs/>
        </w:rPr>
        <w:t xml:space="preserve"> sSCell</w:t>
      </w:r>
      <w:r>
        <w:rPr>
          <w:iCs/>
        </w:rPr>
        <w:t xml:space="preserve"> </w:t>
      </w:r>
      <w:r w:rsidR="00247889">
        <w:rPr>
          <w:iCs/>
        </w:rPr>
        <w:t xml:space="preserve">results in </w:t>
      </w:r>
      <w:r w:rsidR="00247889" w:rsidRPr="00247889">
        <w:rPr>
          <w:iCs/>
        </w:rPr>
        <w:t>exceeding any of the UE’s capabilities for A-/SP-CSI rep</w:t>
      </w:r>
      <w:r>
        <w:rPr>
          <w:iCs/>
        </w:rPr>
        <w:t>orting on PUSCH on P(S)Cell</w:t>
      </w:r>
      <w:r w:rsidR="00247889" w:rsidRPr="00247889">
        <w:rPr>
          <w:iCs/>
        </w:rPr>
        <w:t xml:space="preserve">.  </w:t>
      </w:r>
    </w:p>
    <w:p w:rsidR="00247889" w:rsidRPr="00247889" w:rsidRDefault="00247889" w:rsidP="00646A87">
      <w:pPr>
        <w:pStyle w:val="ListParagraph"/>
        <w:numPr>
          <w:ilvl w:val="0"/>
          <w:numId w:val="22"/>
        </w:numPr>
        <w:spacing w:beforeLines="50" w:afterLines="50"/>
        <w:jc w:val="both"/>
        <w:rPr>
          <w:rStyle w:val="apple-converted-space"/>
          <w:rFonts w:eastAsiaTheme="minorEastAsia"/>
        </w:rPr>
      </w:pPr>
      <w:r>
        <w:rPr>
          <w:rStyle w:val="apple-converted-space"/>
          <w:rFonts w:eastAsiaTheme="minorEastAsia"/>
        </w:rPr>
        <w:t xml:space="preserve">Understanding 2: </w:t>
      </w:r>
      <w:r w:rsidR="00D50E08">
        <w:rPr>
          <w:rStyle w:val="apple-converted-space"/>
          <w:rFonts w:eastAsiaTheme="minorEastAsia"/>
        </w:rPr>
        <w:t xml:space="preserve">The sum (or the union) of what results from the </w:t>
      </w:r>
      <w:r w:rsidR="00D50E08">
        <w:rPr>
          <w:i/>
          <w:iCs/>
        </w:rPr>
        <w:t>CSI-MeasConfig</w:t>
      </w:r>
      <w:r w:rsidR="00D50E08">
        <w:rPr>
          <w:iCs/>
        </w:rPr>
        <w:t xml:space="preserve"> for P(S)Cell and what results from the </w:t>
      </w:r>
      <w:r w:rsidR="006421B0" w:rsidRPr="00247889">
        <w:rPr>
          <w:i/>
          <w:iCs/>
        </w:rPr>
        <w:t>CSI-MeasConfig</w:t>
      </w:r>
      <w:r w:rsidR="006421B0" w:rsidRPr="00247889">
        <w:rPr>
          <w:iCs/>
        </w:rPr>
        <w:t xml:space="preserve"> for sSCell</w:t>
      </w:r>
      <w:r w:rsidR="006421B0">
        <w:rPr>
          <w:iCs/>
        </w:rPr>
        <w:t xml:space="preserve"> does not exceed</w:t>
      </w:r>
      <w:r w:rsidR="006421B0" w:rsidRPr="00247889">
        <w:rPr>
          <w:iCs/>
        </w:rPr>
        <w:t xml:space="preserve"> any of the UE’s capabilities for A-/SP-CSI reporting on PUSCH on P(S)Cell</w:t>
      </w:r>
      <w:r w:rsidR="006421B0">
        <w:rPr>
          <w:iCs/>
        </w:rPr>
        <w:t xml:space="preserve">. </w:t>
      </w:r>
    </w:p>
    <w:p w:rsidR="00666803" w:rsidRDefault="005740F1" w:rsidP="00646A87">
      <w:pPr>
        <w:spacing w:beforeLines="50" w:after="0"/>
        <w:rPr>
          <w:rFonts w:eastAsiaTheme="minorEastAsia"/>
          <w:szCs w:val="20"/>
          <w:lang w:eastAsia="zh-CN"/>
        </w:rPr>
      </w:pPr>
      <w:r>
        <w:rPr>
          <w:rFonts w:eastAsiaTheme="minorEastAsia"/>
          <w:szCs w:val="20"/>
          <w:lang w:eastAsia="zh-CN"/>
        </w:rPr>
        <w:t xml:space="preserve">Our preference is the Understanding 2, because </w:t>
      </w:r>
      <w:r w:rsidR="00CE17B5">
        <w:rPr>
          <w:rFonts w:eastAsiaTheme="minorEastAsia"/>
          <w:szCs w:val="20"/>
          <w:lang w:eastAsia="zh-CN"/>
        </w:rPr>
        <w:t xml:space="preserve">otherwise the UE would be made to implement double of what it reports as capability, which modifies the meaning of existing UE capability signaling. </w:t>
      </w:r>
    </w:p>
    <w:p w:rsidR="00CE17B5" w:rsidRDefault="00CE17B5" w:rsidP="00646A87">
      <w:pPr>
        <w:spacing w:beforeLines="50" w:after="0"/>
        <w:rPr>
          <w:iCs/>
        </w:rPr>
      </w:pPr>
      <w:r w:rsidRPr="00CE17B5">
        <w:rPr>
          <w:rFonts w:eastAsiaTheme="minorEastAsia"/>
          <w:b/>
          <w:i/>
          <w:szCs w:val="20"/>
          <w:lang w:eastAsia="zh-CN"/>
        </w:rPr>
        <w:t xml:space="preserve">Proposal 1: The proposed Note in RAN1 #110bis Proposal 1-Alt1 is interpreted as: </w:t>
      </w:r>
      <w:r w:rsidRPr="00CE17B5">
        <w:rPr>
          <w:rStyle w:val="apple-converted-space"/>
          <w:rFonts w:eastAsiaTheme="minorEastAsia"/>
          <w:b/>
          <w:i/>
        </w:rPr>
        <w:t xml:space="preserve">The sum (or the union) of what results from the </w:t>
      </w:r>
      <w:r w:rsidRPr="00CE17B5">
        <w:rPr>
          <w:b/>
          <w:i/>
          <w:iCs/>
        </w:rPr>
        <w:t>CSI-MeasConfig for P(S)Cell and what results from the CSI-MeasConfig for sSCell does not exceed any of the UE’s capabilities for A-/SP-CSI reporting on PUSCH on P(S)Cell.</w:t>
      </w:r>
    </w:p>
    <w:p w:rsidR="003C6681" w:rsidRPr="00CE17B5" w:rsidRDefault="003C6681" w:rsidP="00646A87">
      <w:pPr>
        <w:spacing w:beforeLines="50" w:after="0"/>
        <w:rPr>
          <w:rFonts w:eastAsiaTheme="minorEastAsia"/>
          <w:szCs w:val="20"/>
          <w:lang w:eastAsia="zh-CN"/>
        </w:rPr>
      </w:pPr>
      <w:r>
        <w:rPr>
          <w:iCs/>
        </w:rPr>
        <w:t xml:space="preserve">At last, if the proposed Note in Proposal 1-Alt1 should be reflected in 38.306, the same Note should be included as well in 38.822.  </w:t>
      </w:r>
    </w:p>
    <w:p w:rsidR="0064652B" w:rsidRPr="00C36519" w:rsidRDefault="0064652B" w:rsidP="007001B0">
      <w:pPr>
        <w:pStyle w:val="ListParagraph"/>
        <w:numPr>
          <w:ilvl w:val="0"/>
          <w:numId w:val="8"/>
        </w:numPr>
        <w:spacing w:after="120" w:line="240" w:lineRule="auto"/>
        <w:jc w:val="both"/>
        <w:outlineLvl w:val="1"/>
        <w:rPr>
          <w:rFonts w:eastAsiaTheme="minorEastAsia" w:cs="Times New Roman"/>
          <w:vanish/>
        </w:rPr>
      </w:pPr>
    </w:p>
    <w:p w:rsidR="0064652B" w:rsidRPr="00C36519" w:rsidRDefault="0064652B" w:rsidP="007001B0">
      <w:pPr>
        <w:pStyle w:val="ListParagraph"/>
        <w:numPr>
          <w:ilvl w:val="0"/>
          <w:numId w:val="8"/>
        </w:numPr>
        <w:spacing w:after="120" w:line="240" w:lineRule="auto"/>
        <w:jc w:val="both"/>
        <w:outlineLvl w:val="1"/>
        <w:rPr>
          <w:rFonts w:eastAsiaTheme="minorEastAsia" w:cs="Times New Roman"/>
          <w:vanish/>
        </w:rPr>
      </w:pP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Conclusion</w:t>
      </w:r>
    </w:p>
    <w:p w:rsidR="0064652B" w:rsidRDefault="00666803" w:rsidP="00646A87">
      <w:pPr>
        <w:pStyle w:val="BodyText"/>
        <w:spacing w:beforeLines="50"/>
        <w:rPr>
          <w:rFonts w:eastAsia="SimSun"/>
          <w:szCs w:val="20"/>
          <w:lang w:eastAsia="zh-CN"/>
        </w:rPr>
      </w:pPr>
      <w:r>
        <w:rPr>
          <w:rFonts w:eastAsia="SimSun"/>
          <w:szCs w:val="20"/>
          <w:lang w:eastAsia="zh-CN"/>
        </w:rPr>
        <w:t>T</w:t>
      </w:r>
      <w:r w:rsidR="0064652B" w:rsidRPr="00C36519">
        <w:rPr>
          <w:rFonts w:eastAsia="SimSun"/>
          <w:szCs w:val="20"/>
          <w:lang w:eastAsia="zh-CN"/>
        </w:rPr>
        <w:t>his contribution</w:t>
      </w:r>
      <w:r w:rsidR="00242D69">
        <w:rPr>
          <w:rFonts w:eastAsia="SimSun"/>
          <w:szCs w:val="20"/>
          <w:lang w:eastAsia="zh-CN"/>
        </w:rPr>
        <w:t xml:space="preserve"> provid</w:t>
      </w:r>
      <w:r w:rsidR="000D37AB">
        <w:rPr>
          <w:rFonts w:eastAsia="SimSun"/>
          <w:szCs w:val="20"/>
          <w:lang w:eastAsia="zh-CN"/>
        </w:rPr>
        <w:t>es the following</w:t>
      </w:r>
      <w:r w:rsidR="00242D69">
        <w:rPr>
          <w:rFonts w:eastAsia="SimSun"/>
          <w:szCs w:val="20"/>
          <w:lang w:eastAsia="zh-CN"/>
        </w:rPr>
        <w:t xml:space="preserve"> proposals</w:t>
      </w:r>
      <w:r w:rsidR="0064652B" w:rsidRPr="00C36519">
        <w:rPr>
          <w:rFonts w:eastAsia="SimSun"/>
          <w:szCs w:val="20"/>
          <w:lang w:eastAsia="zh-CN"/>
        </w:rPr>
        <w:t>:</w:t>
      </w:r>
    </w:p>
    <w:p w:rsidR="004C3C42" w:rsidRPr="004C3C42" w:rsidRDefault="004C3C42" w:rsidP="00646A87">
      <w:pPr>
        <w:spacing w:beforeLines="50" w:after="0"/>
        <w:rPr>
          <w:iCs/>
        </w:rPr>
      </w:pPr>
      <w:r w:rsidRPr="00CE17B5">
        <w:rPr>
          <w:rFonts w:eastAsiaTheme="minorEastAsia"/>
          <w:b/>
          <w:i/>
          <w:szCs w:val="20"/>
          <w:lang w:eastAsia="zh-CN"/>
        </w:rPr>
        <w:t xml:space="preserve">Proposal 1: The proposed Note in RAN1 #110bis Proposal 1-Alt1 is interpreted as: </w:t>
      </w:r>
      <w:r w:rsidRPr="00CE17B5">
        <w:rPr>
          <w:rStyle w:val="apple-converted-space"/>
          <w:rFonts w:eastAsiaTheme="minorEastAsia"/>
          <w:b/>
          <w:i/>
        </w:rPr>
        <w:t xml:space="preserve">The sum (or the union) of what results from the </w:t>
      </w:r>
      <w:r w:rsidRPr="00CE17B5">
        <w:rPr>
          <w:b/>
          <w:i/>
          <w:iCs/>
        </w:rPr>
        <w:t>CSI-MeasConfig for P(S)Cell and what results from the CSI-MeasConfig for sSCell does not exceed any of the UE’s capabilities for A-/SP-CSI reporting on PUSCH on P(S)Cell.</w:t>
      </w:r>
    </w:p>
    <w:p w:rsidR="00F450C6" w:rsidRPr="00F71389" w:rsidRDefault="0064652B" w:rsidP="00F71389">
      <w:pPr>
        <w:pStyle w:val="Heading1"/>
        <w:numPr>
          <w:ilvl w:val="0"/>
          <w:numId w:val="0"/>
        </w:numPr>
        <w:spacing w:line="240" w:lineRule="auto"/>
        <w:rPr>
          <w:rFonts w:ascii="Times New Roman" w:hAnsi="Times New Roman" w:cs="Times New Roman"/>
          <w:sz w:val="20"/>
          <w:szCs w:val="20"/>
        </w:rPr>
      </w:pPr>
      <w:r w:rsidRPr="00C36519">
        <w:rPr>
          <w:rFonts w:ascii="Times New Roman" w:hAnsi="Times New Roman" w:cs="Times New Roman"/>
          <w:sz w:val="20"/>
          <w:szCs w:val="20"/>
        </w:rPr>
        <w:t>Reference</w:t>
      </w:r>
    </w:p>
    <w:p w:rsidR="0064652B" w:rsidRPr="00F71389" w:rsidRDefault="00F450C6" w:rsidP="007001B0">
      <w:pPr>
        <w:numPr>
          <w:ilvl w:val="0"/>
          <w:numId w:val="6"/>
        </w:numPr>
        <w:spacing w:after="40" w:line="240" w:lineRule="auto"/>
        <w:rPr>
          <w:rFonts w:eastAsia="SimSun"/>
          <w:color w:val="000000"/>
          <w:lang w:eastAsia="zh-CN"/>
        </w:rPr>
      </w:pPr>
      <w:r w:rsidRPr="00F71389">
        <w:rPr>
          <w:bCs/>
        </w:rPr>
        <w:t>R1-2210780,</w:t>
      </w:r>
      <w:r w:rsidRPr="00F71389">
        <w:t xml:space="preserve"> Summary#3 of Email d</w:t>
      </w:r>
      <w:r w:rsidR="00F71389" w:rsidRPr="00F71389">
        <w:t xml:space="preserve">iscussion [110bis-e-R17-DSS-01], </w:t>
      </w:r>
      <w:r w:rsidRPr="00F71389">
        <w:t>Moderator (Ericsson)</w:t>
      </w:r>
    </w:p>
    <w:p w:rsidR="007A57B3" w:rsidRPr="006E1FDA" w:rsidRDefault="007A57B3" w:rsidP="00F71389">
      <w:pPr>
        <w:spacing w:after="40" w:line="240" w:lineRule="auto"/>
        <w:rPr>
          <w:rFonts w:eastAsia="SimSun"/>
          <w:color w:val="000000"/>
          <w:lang w:eastAsia="zh-CN"/>
        </w:rPr>
      </w:pPr>
    </w:p>
    <w:sectPr w:rsidR="007A57B3" w:rsidRPr="006E1FDA" w:rsidSect="00AC2B7C">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7B5" w:rsidRDefault="00CE17B5" w:rsidP="00AC2B7C">
      <w:pPr>
        <w:spacing w:after="0" w:line="240" w:lineRule="auto"/>
      </w:pPr>
      <w:r>
        <w:separator/>
      </w:r>
    </w:p>
  </w:endnote>
  <w:endnote w:type="continuationSeparator" w:id="0">
    <w:p w:rsidR="00CE17B5" w:rsidRDefault="00CE17B5"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Arial Unicode MS"/>
    <w:charset w:val="00"/>
    <w:family w:val="roman"/>
    <w:pitch w:val="default"/>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5" w:rsidRDefault="000A7B10">
    <w:pPr>
      <w:pStyle w:val="Footer"/>
      <w:framePr w:wrap="around" w:vAnchor="text" w:hAnchor="margin" w:xAlign="center" w:y="1"/>
      <w:rPr>
        <w:rStyle w:val="PageNumber"/>
      </w:rPr>
    </w:pPr>
    <w:r>
      <w:rPr>
        <w:rStyle w:val="PageNumber"/>
      </w:rPr>
      <w:fldChar w:fldCharType="begin"/>
    </w:r>
    <w:r w:rsidR="00CE17B5">
      <w:rPr>
        <w:rStyle w:val="PageNumber"/>
      </w:rPr>
      <w:instrText xml:space="preserve">PAGE  </w:instrText>
    </w:r>
    <w:r>
      <w:rPr>
        <w:rStyle w:val="PageNumber"/>
      </w:rPr>
      <w:fldChar w:fldCharType="end"/>
    </w:r>
  </w:p>
  <w:p w:rsidR="00CE17B5" w:rsidRDefault="00CE17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CE17B5" w:rsidRDefault="000A7B10">
        <w:pPr>
          <w:pStyle w:val="Footer"/>
          <w:jc w:val="center"/>
        </w:pPr>
        <w:fldSimple w:instr=" PAGE   \* MERGEFORMAT ">
          <w:r w:rsidR="0079450F">
            <w:rPr>
              <w:noProof/>
            </w:rPr>
            <w:t>1</w:t>
          </w:r>
        </w:fldSimple>
      </w:p>
    </w:sdtContent>
  </w:sdt>
  <w:p w:rsidR="00CE17B5" w:rsidRDefault="00CE17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7B5" w:rsidRDefault="00CE17B5" w:rsidP="00AC2B7C">
      <w:pPr>
        <w:spacing w:after="0" w:line="240" w:lineRule="auto"/>
      </w:pPr>
      <w:r>
        <w:separator/>
      </w:r>
    </w:p>
  </w:footnote>
  <w:footnote w:type="continuationSeparator" w:id="0">
    <w:p w:rsidR="00CE17B5" w:rsidRDefault="00CE17B5"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B5" w:rsidRDefault="00CE17B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hybridMultilevel"/>
    <w:tmpl w:val="93768798"/>
    <w:lvl w:ilvl="0" w:tplc="B3AEC7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BF035F0"/>
    <w:multiLevelType w:val="hybridMultilevel"/>
    <w:tmpl w:val="E74A7F3C"/>
    <w:lvl w:ilvl="0" w:tplc="B8ECE518">
      <w:start w:val="1"/>
      <w:numFmt w:val="bullet"/>
      <w:lvlText w:val="•"/>
      <w:lvlJc w:val="left"/>
      <w:pPr>
        <w:tabs>
          <w:tab w:val="num" w:pos="720"/>
        </w:tabs>
        <w:ind w:left="720" w:hanging="360"/>
      </w:pPr>
      <w:rPr>
        <w:rFonts w:ascii="Arial" w:hAnsi="Arial" w:hint="default"/>
      </w:rPr>
    </w:lvl>
    <w:lvl w:ilvl="1" w:tplc="78666BB2">
      <w:start w:val="1"/>
      <w:numFmt w:val="bullet"/>
      <w:lvlText w:val="•"/>
      <w:lvlJc w:val="left"/>
      <w:pPr>
        <w:tabs>
          <w:tab w:val="num" w:pos="1440"/>
        </w:tabs>
        <w:ind w:left="1440" w:hanging="360"/>
      </w:pPr>
      <w:rPr>
        <w:rFonts w:ascii="Arial" w:hAnsi="Arial" w:hint="default"/>
      </w:rPr>
    </w:lvl>
    <w:lvl w:ilvl="2" w:tplc="1DCC7B30" w:tentative="1">
      <w:start w:val="1"/>
      <w:numFmt w:val="bullet"/>
      <w:lvlText w:val="•"/>
      <w:lvlJc w:val="left"/>
      <w:pPr>
        <w:tabs>
          <w:tab w:val="num" w:pos="2160"/>
        </w:tabs>
        <w:ind w:left="2160" w:hanging="360"/>
      </w:pPr>
      <w:rPr>
        <w:rFonts w:ascii="Arial" w:hAnsi="Arial" w:hint="default"/>
      </w:rPr>
    </w:lvl>
    <w:lvl w:ilvl="3" w:tplc="68864BFC" w:tentative="1">
      <w:start w:val="1"/>
      <w:numFmt w:val="bullet"/>
      <w:lvlText w:val="•"/>
      <w:lvlJc w:val="left"/>
      <w:pPr>
        <w:tabs>
          <w:tab w:val="num" w:pos="2880"/>
        </w:tabs>
        <w:ind w:left="2880" w:hanging="360"/>
      </w:pPr>
      <w:rPr>
        <w:rFonts w:ascii="Arial" w:hAnsi="Arial" w:hint="default"/>
      </w:rPr>
    </w:lvl>
    <w:lvl w:ilvl="4" w:tplc="8D800E18" w:tentative="1">
      <w:start w:val="1"/>
      <w:numFmt w:val="bullet"/>
      <w:lvlText w:val="•"/>
      <w:lvlJc w:val="left"/>
      <w:pPr>
        <w:tabs>
          <w:tab w:val="num" w:pos="3600"/>
        </w:tabs>
        <w:ind w:left="3600" w:hanging="360"/>
      </w:pPr>
      <w:rPr>
        <w:rFonts w:ascii="Arial" w:hAnsi="Arial" w:hint="default"/>
      </w:rPr>
    </w:lvl>
    <w:lvl w:ilvl="5" w:tplc="F2064FDE" w:tentative="1">
      <w:start w:val="1"/>
      <w:numFmt w:val="bullet"/>
      <w:lvlText w:val="•"/>
      <w:lvlJc w:val="left"/>
      <w:pPr>
        <w:tabs>
          <w:tab w:val="num" w:pos="4320"/>
        </w:tabs>
        <w:ind w:left="4320" w:hanging="360"/>
      </w:pPr>
      <w:rPr>
        <w:rFonts w:ascii="Arial" w:hAnsi="Arial" w:hint="default"/>
      </w:rPr>
    </w:lvl>
    <w:lvl w:ilvl="6" w:tplc="72D25E28" w:tentative="1">
      <w:start w:val="1"/>
      <w:numFmt w:val="bullet"/>
      <w:lvlText w:val="•"/>
      <w:lvlJc w:val="left"/>
      <w:pPr>
        <w:tabs>
          <w:tab w:val="num" w:pos="5040"/>
        </w:tabs>
        <w:ind w:left="5040" w:hanging="360"/>
      </w:pPr>
      <w:rPr>
        <w:rFonts w:ascii="Arial" w:hAnsi="Arial" w:hint="default"/>
      </w:rPr>
    </w:lvl>
    <w:lvl w:ilvl="7" w:tplc="A8CAC408" w:tentative="1">
      <w:start w:val="1"/>
      <w:numFmt w:val="bullet"/>
      <w:lvlText w:val="•"/>
      <w:lvlJc w:val="left"/>
      <w:pPr>
        <w:tabs>
          <w:tab w:val="num" w:pos="5760"/>
        </w:tabs>
        <w:ind w:left="5760" w:hanging="360"/>
      </w:pPr>
      <w:rPr>
        <w:rFonts w:ascii="Arial" w:hAnsi="Arial" w:hint="default"/>
      </w:rPr>
    </w:lvl>
    <w:lvl w:ilvl="8" w:tplc="143228DA" w:tentative="1">
      <w:start w:val="1"/>
      <w:numFmt w:val="bullet"/>
      <w:lvlText w:val="•"/>
      <w:lvlJc w:val="left"/>
      <w:pPr>
        <w:tabs>
          <w:tab w:val="num" w:pos="6480"/>
        </w:tabs>
        <w:ind w:left="6480" w:hanging="360"/>
      </w:pPr>
      <w:rPr>
        <w:rFonts w:ascii="Arial" w:hAnsi="Arial"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2C727D"/>
    <w:multiLevelType w:val="multilevel"/>
    <w:tmpl w:val="116EE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1E782B"/>
    <w:multiLevelType w:val="hybridMultilevel"/>
    <w:tmpl w:val="91A8667E"/>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9F313DD"/>
    <w:multiLevelType w:val="hybridMultilevel"/>
    <w:tmpl w:val="6FCEB80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EA34BA"/>
    <w:multiLevelType w:val="hybridMultilevel"/>
    <w:tmpl w:val="1666CF60"/>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8D673A"/>
    <w:multiLevelType w:val="hybridMultilevel"/>
    <w:tmpl w:val="C8FCF9BA"/>
    <w:lvl w:ilvl="0" w:tplc="40020C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14A2CAB"/>
    <w:multiLevelType w:val="hybridMultilevel"/>
    <w:tmpl w:val="CCFC7D82"/>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3">
    <w:nsid w:val="66E34DA9"/>
    <w:multiLevelType w:val="hybridMultilevel"/>
    <w:tmpl w:val="298E87BA"/>
    <w:lvl w:ilvl="0" w:tplc="04090011">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14">
    <w:nsid w:val="687F255E"/>
    <w:multiLevelType w:val="hybridMultilevel"/>
    <w:tmpl w:val="9B14C2C8"/>
    <w:lvl w:ilvl="0" w:tplc="40020CF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FA6E27"/>
    <w:multiLevelType w:val="hybridMultilevel"/>
    <w:tmpl w:val="005C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E21539"/>
    <w:multiLevelType w:val="hybridMultilevel"/>
    <w:tmpl w:val="677A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3AEC72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1">
    <w:nsid w:val="7ED45B46"/>
    <w:multiLevelType w:val="hybridMultilevel"/>
    <w:tmpl w:val="8D5802FA"/>
    <w:lvl w:ilvl="0" w:tplc="B15C9E94">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20"/>
  </w:num>
  <w:num w:numId="2">
    <w:abstractNumId w:val="16"/>
  </w:num>
  <w:num w:numId="3">
    <w:abstractNumId w:val="19"/>
  </w:num>
  <w:num w:numId="4">
    <w:abstractNumId w:val="3"/>
  </w:num>
  <w:num w:numId="5">
    <w:abstractNumId w:val="15"/>
  </w:num>
  <w:num w:numId="6">
    <w:abstractNumId w:val="11"/>
  </w:num>
  <w:num w:numId="7">
    <w:abstractNumId w:val="10"/>
  </w:num>
  <w:num w:numId="8">
    <w:abstractNumId w:val="1"/>
  </w:num>
  <w:num w:numId="9">
    <w:abstractNumId w:val="18"/>
  </w:num>
  <w:num w:numId="10">
    <w:abstractNumId w:val="2"/>
  </w:num>
  <w:num w:numId="11">
    <w:abstractNumId w:val="6"/>
  </w:num>
  <w:num w:numId="12">
    <w:abstractNumId w:val="8"/>
  </w:num>
  <w:num w:numId="13">
    <w:abstractNumId w:val="5"/>
  </w:num>
  <w:num w:numId="14">
    <w:abstractNumId w:val="9"/>
  </w:num>
  <w:num w:numId="15">
    <w:abstractNumId w:val="0"/>
  </w:num>
  <w:num w:numId="16">
    <w:abstractNumId w:val="17"/>
  </w:num>
  <w:num w:numId="17">
    <w:abstractNumId w:val="13"/>
  </w:num>
  <w:num w:numId="18">
    <w:abstractNumId w:val="14"/>
  </w:num>
  <w:num w:numId="19">
    <w:abstractNumId w:val="7"/>
  </w:num>
  <w:num w:numId="20">
    <w:abstractNumId w:val="21"/>
  </w:num>
  <w:num w:numId="21">
    <w:abstractNumId w:val="4"/>
  </w:num>
  <w:num w:numId="22">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AA6"/>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164"/>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714"/>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B1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22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7AB"/>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47F24"/>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77"/>
    <w:rsid w:val="001703C6"/>
    <w:rsid w:val="0017045E"/>
    <w:rsid w:val="00170604"/>
    <w:rsid w:val="001707EE"/>
    <w:rsid w:val="00170889"/>
    <w:rsid w:val="0017095A"/>
    <w:rsid w:val="00170EE5"/>
    <w:rsid w:val="00171755"/>
    <w:rsid w:val="0017182D"/>
    <w:rsid w:val="00172096"/>
    <w:rsid w:val="00172446"/>
    <w:rsid w:val="00172B91"/>
    <w:rsid w:val="00172FB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D7B19"/>
    <w:rsid w:val="001E0323"/>
    <w:rsid w:val="001E0476"/>
    <w:rsid w:val="001E09CE"/>
    <w:rsid w:val="001E0D49"/>
    <w:rsid w:val="001E1169"/>
    <w:rsid w:val="001E15AF"/>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92C"/>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889"/>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3F1E"/>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57"/>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002"/>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2E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EEB"/>
    <w:rsid w:val="00313FF7"/>
    <w:rsid w:val="003143EB"/>
    <w:rsid w:val="00314EA6"/>
    <w:rsid w:val="0031528C"/>
    <w:rsid w:val="0031528F"/>
    <w:rsid w:val="00315655"/>
    <w:rsid w:val="00315801"/>
    <w:rsid w:val="00315A4A"/>
    <w:rsid w:val="00315A4E"/>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290"/>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6C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2E0"/>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0C97"/>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681"/>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4CC7"/>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3C4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4E9"/>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FE1"/>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0F"/>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08E"/>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0F1"/>
    <w:rsid w:val="005747F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5F8"/>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ABB"/>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1B0"/>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A87"/>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D7C"/>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544"/>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6E"/>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1FDA"/>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7B0"/>
    <w:rsid w:val="00726996"/>
    <w:rsid w:val="00726C1B"/>
    <w:rsid w:val="0072700A"/>
    <w:rsid w:val="00727260"/>
    <w:rsid w:val="00727347"/>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C43"/>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480"/>
    <w:rsid w:val="00737623"/>
    <w:rsid w:val="007376CB"/>
    <w:rsid w:val="00737989"/>
    <w:rsid w:val="00737BDD"/>
    <w:rsid w:val="00737DDA"/>
    <w:rsid w:val="00737F60"/>
    <w:rsid w:val="0074027C"/>
    <w:rsid w:val="00740671"/>
    <w:rsid w:val="00740C3F"/>
    <w:rsid w:val="00740CE3"/>
    <w:rsid w:val="00741314"/>
    <w:rsid w:val="007413A2"/>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AF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5AF"/>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61C"/>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50F"/>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3D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668A"/>
    <w:rsid w:val="00827572"/>
    <w:rsid w:val="00827716"/>
    <w:rsid w:val="00827E45"/>
    <w:rsid w:val="00827E57"/>
    <w:rsid w:val="008302CF"/>
    <w:rsid w:val="0083068A"/>
    <w:rsid w:val="00830920"/>
    <w:rsid w:val="00831241"/>
    <w:rsid w:val="008313F8"/>
    <w:rsid w:val="00831659"/>
    <w:rsid w:val="00831BB7"/>
    <w:rsid w:val="00831CD0"/>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B9F"/>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06"/>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2FA"/>
    <w:rsid w:val="0095485F"/>
    <w:rsid w:val="00954917"/>
    <w:rsid w:val="00954C35"/>
    <w:rsid w:val="00954CE4"/>
    <w:rsid w:val="00954F41"/>
    <w:rsid w:val="00954F7F"/>
    <w:rsid w:val="00954F86"/>
    <w:rsid w:val="00955131"/>
    <w:rsid w:val="0095513F"/>
    <w:rsid w:val="009552C6"/>
    <w:rsid w:val="0095538D"/>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4F52"/>
    <w:rsid w:val="009950B5"/>
    <w:rsid w:val="0099515A"/>
    <w:rsid w:val="009952B5"/>
    <w:rsid w:val="00995656"/>
    <w:rsid w:val="0099589D"/>
    <w:rsid w:val="00995A57"/>
    <w:rsid w:val="00995BAF"/>
    <w:rsid w:val="00995F08"/>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0CB"/>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1DA"/>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A4A"/>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4CF"/>
    <w:rsid w:val="00B1157E"/>
    <w:rsid w:val="00B11796"/>
    <w:rsid w:val="00B11A1E"/>
    <w:rsid w:val="00B11A30"/>
    <w:rsid w:val="00B11B91"/>
    <w:rsid w:val="00B12342"/>
    <w:rsid w:val="00B12A01"/>
    <w:rsid w:val="00B134C4"/>
    <w:rsid w:val="00B135D2"/>
    <w:rsid w:val="00B138BC"/>
    <w:rsid w:val="00B13C01"/>
    <w:rsid w:val="00B13D6F"/>
    <w:rsid w:val="00B1402C"/>
    <w:rsid w:val="00B1425F"/>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347"/>
    <w:rsid w:val="00B364CB"/>
    <w:rsid w:val="00B36862"/>
    <w:rsid w:val="00B36D1A"/>
    <w:rsid w:val="00B36F53"/>
    <w:rsid w:val="00B373FD"/>
    <w:rsid w:val="00B3743E"/>
    <w:rsid w:val="00B37C42"/>
    <w:rsid w:val="00B37CC2"/>
    <w:rsid w:val="00B37F25"/>
    <w:rsid w:val="00B4022E"/>
    <w:rsid w:val="00B402F8"/>
    <w:rsid w:val="00B404CD"/>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646"/>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1CA"/>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7DC"/>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312"/>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4C4"/>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68C"/>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7B5"/>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573"/>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167"/>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081"/>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680"/>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47FEA"/>
    <w:rsid w:val="00D501C1"/>
    <w:rsid w:val="00D504A8"/>
    <w:rsid w:val="00D509B9"/>
    <w:rsid w:val="00D509DD"/>
    <w:rsid w:val="00D50E08"/>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071"/>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59"/>
    <w:rsid w:val="00E008FF"/>
    <w:rsid w:val="00E00996"/>
    <w:rsid w:val="00E00A35"/>
    <w:rsid w:val="00E00FAE"/>
    <w:rsid w:val="00E01237"/>
    <w:rsid w:val="00E014AD"/>
    <w:rsid w:val="00E015CD"/>
    <w:rsid w:val="00E0192D"/>
    <w:rsid w:val="00E01AA5"/>
    <w:rsid w:val="00E0270E"/>
    <w:rsid w:val="00E0288E"/>
    <w:rsid w:val="00E02DEE"/>
    <w:rsid w:val="00E02F8C"/>
    <w:rsid w:val="00E0301A"/>
    <w:rsid w:val="00E03042"/>
    <w:rsid w:val="00E032D0"/>
    <w:rsid w:val="00E0338B"/>
    <w:rsid w:val="00E034A7"/>
    <w:rsid w:val="00E03659"/>
    <w:rsid w:val="00E039F1"/>
    <w:rsid w:val="00E03C00"/>
    <w:rsid w:val="00E03F0C"/>
    <w:rsid w:val="00E0416A"/>
    <w:rsid w:val="00E047D7"/>
    <w:rsid w:val="00E048D6"/>
    <w:rsid w:val="00E04B25"/>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267"/>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3D7A"/>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1A5"/>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55"/>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0C6"/>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389"/>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AF1"/>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12A"/>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B32"/>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uiPriority w:val="99"/>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99"/>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7"/>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 w:type="character" w:customStyle="1" w:styleId="B10">
    <w:name w:val="B1 (文字)"/>
    <w:qFormat/>
    <w:locked/>
    <w:rsid w:val="002427A6"/>
    <w:rPr>
      <w:lang w:eastAsia="en-US"/>
    </w:rPr>
  </w:style>
  <w:style w:type="paragraph" w:customStyle="1" w:styleId="PL">
    <w:name w:val="PL"/>
    <w:link w:val="PLChar"/>
    <w:qFormat/>
    <w:rsid w:val="00614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character" w:customStyle="1" w:styleId="PLChar">
    <w:name w:val="PL Char"/>
    <w:link w:val="PL"/>
    <w:qFormat/>
    <w:rsid w:val="00614ABB"/>
    <w:rPr>
      <w:rFonts w:ascii="Courier New" w:eastAsia="Times New Roman" w:hAnsi="Courier New"/>
      <w:noProof/>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140931106">
      <w:bodyDiv w:val="1"/>
      <w:marLeft w:val="0"/>
      <w:marRight w:val="0"/>
      <w:marTop w:val="0"/>
      <w:marBottom w:val="0"/>
      <w:divBdr>
        <w:top w:val="none" w:sz="0" w:space="0" w:color="auto"/>
        <w:left w:val="none" w:sz="0" w:space="0" w:color="auto"/>
        <w:bottom w:val="none" w:sz="0" w:space="0" w:color="auto"/>
        <w:right w:val="none" w:sz="0" w:space="0" w:color="auto"/>
      </w:divBdr>
    </w:div>
    <w:div w:id="275142386">
      <w:bodyDiv w:val="1"/>
      <w:marLeft w:val="0"/>
      <w:marRight w:val="0"/>
      <w:marTop w:val="0"/>
      <w:marBottom w:val="0"/>
      <w:divBdr>
        <w:top w:val="none" w:sz="0" w:space="0" w:color="auto"/>
        <w:left w:val="none" w:sz="0" w:space="0" w:color="auto"/>
        <w:bottom w:val="none" w:sz="0" w:space="0" w:color="auto"/>
        <w:right w:val="none" w:sz="0" w:space="0" w:color="auto"/>
      </w:divBdr>
    </w:div>
    <w:div w:id="541672812">
      <w:bodyDiv w:val="1"/>
      <w:marLeft w:val="0"/>
      <w:marRight w:val="0"/>
      <w:marTop w:val="0"/>
      <w:marBottom w:val="0"/>
      <w:divBdr>
        <w:top w:val="none" w:sz="0" w:space="0" w:color="auto"/>
        <w:left w:val="none" w:sz="0" w:space="0" w:color="auto"/>
        <w:bottom w:val="none" w:sz="0" w:space="0" w:color="auto"/>
        <w:right w:val="none" w:sz="0" w:space="0" w:color="auto"/>
      </w:divBdr>
    </w:div>
    <w:div w:id="607931736">
      <w:bodyDiv w:val="1"/>
      <w:marLeft w:val="0"/>
      <w:marRight w:val="0"/>
      <w:marTop w:val="0"/>
      <w:marBottom w:val="0"/>
      <w:divBdr>
        <w:top w:val="none" w:sz="0" w:space="0" w:color="auto"/>
        <w:left w:val="none" w:sz="0" w:space="0" w:color="auto"/>
        <w:bottom w:val="none" w:sz="0" w:space="0" w:color="auto"/>
        <w:right w:val="none" w:sz="0" w:space="0" w:color="auto"/>
      </w:divBdr>
    </w:div>
    <w:div w:id="1061438915">
      <w:bodyDiv w:val="1"/>
      <w:marLeft w:val="0"/>
      <w:marRight w:val="0"/>
      <w:marTop w:val="0"/>
      <w:marBottom w:val="0"/>
      <w:divBdr>
        <w:top w:val="none" w:sz="0" w:space="0" w:color="auto"/>
        <w:left w:val="none" w:sz="0" w:space="0" w:color="auto"/>
        <w:bottom w:val="none" w:sz="0" w:space="0" w:color="auto"/>
        <w:right w:val="none" w:sz="0" w:space="0" w:color="auto"/>
      </w:divBdr>
    </w:div>
    <w:div w:id="1254431790">
      <w:bodyDiv w:val="1"/>
      <w:marLeft w:val="0"/>
      <w:marRight w:val="0"/>
      <w:marTop w:val="0"/>
      <w:marBottom w:val="0"/>
      <w:divBdr>
        <w:top w:val="none" w:sz="0" w:space="0" w:color="auto"/>
        <w:left w:val="none" w:sz="0" w:space="0" w:color="auto"/>
        <w:bottom w:val="none" w:sz="0" w:space="0" w:color="auto"/>
        <w:right w:val="none" w:sz="0" w:space="0" w:color="auto"/>
      </w:divBdr>
    </w:div>
    <w:div w:id="1542088481">
      <w:bodyDiv w:val="1"/>
      <w:marLeft w:val="0"/>
      <w:marRight w:val="0"/>
      <w:marTop w:val="0"/>
      <w:marBottom w:val="0"/>
      <w:divBdr>
        <w:top w:val="none" w:sz="0" w:space="0" w:color="auto"/>
        <w:left w:val="none" w:sz="0" w:space="0" w:color="auto"/>
        <w:bottom w:val="none" w:sz="0" w:space="0" w:color="auto"/>
        <w:right w:val="none" w:sz="0" w:space="0" w:color="auto"/>
      </w:divBdr>
    </w:div>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 w:id="1600988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4563</TotalTime>
  <Pages>1</Pages>
  <Words>409</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1683</cp:revision>
  <cp:lastPrinted>2019-08-12T04:10:00Z</cp:lastPrinted>
  <dcterms:created xsi:type="dcterms:W3CDTF">2021-08-03T13:34:00Z</dcterms:created>
  <dcterms:modified xsi:type="dcterms:W3CDTF">2022-11-03T21:40:00Z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